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08F31" w14:textId="77777777" w:rsidR="007D1673" w:rsidRDefault="007D1673" w:rsidP="0043197D">
      <w:pPr>
        <w:pStyle w:val="Default"/>
      </w:pPr>
    </w:p>
    <w:p w14:paraId="19817706" w14:textId="77777777" w:rsidR="0043197D" w:rsidRPr="007D1673" w:rsidRDefault="0043197D" w:rsidP="0043197D">
      <w:pPr>
        <w:pStyle w:val="Default"/>
        <w:rPr>
          <w:rFonts w:asciiTheme="minorHAnsi" w:hAnsiTheme="minorHAnsi" w:cstheme="minorHAnsi"/>
          <w:b/>
          <w:bCs/>
          <w:sz w:val="28"/>
          <w:szCs w:val="28"/>
        </w:rPr>
      </w:pPr>
      <w:r>
        <w:t xml:space="preserve"> </w:t>
      </w:r>
      <w:r w:rsidRPr="007D1673">
        <w:rPr>
          <w:rFonts w:asciiTheme="minorHAnsi" w:hAnsiTheme="minorHAnsi" w:cstheme="minorHAnsi"/>
          <w:b/>
          <w:bCs/>
          <w:sz w:val="28"/>
          <w:szCs w:val="28"/>
        </w:rPr>
        <w:t xml:space="preserve">Allegato 3 alla delibera ANAC n. 294/2021 </w:t>
      </w:r>
    </w:p>
    <w:p w14:paraId="1A4AA091" w14:textId="77777777" w:rsidR="007D1673" w:rsidRDefault="007D1673" w:rsidP="0043197D">
      <w:pPr>
        <w:pStyle w:val="Default"/>
        <w:rPr>
          <w:b/>
          <w:bCs/>
          <w:sz w:val="20"/>
          <w:szCs w:val="20"/>
        </w:rPr>
      </w:pPr>
    </w:p>
    <w:p w14:paraId="3354D52A" w14:textId="77D2712F" w:rsidR="007D1673" w:rsidRDefault="007D1673" w:rsidP="007D1673">
      <w:pPr>
        <w:pStyle w:val="Default"/>
        <w:jc w:val="center"/>
        <w:rPr>
          <w:b/>
          <w:bCs/>
          <w:sz w:val="20"/>
          <w:szCs w:val="20"/>
        </w:rPr>
      </w:pPr>
      <w:r>
        <w:rPr>
          <w:b/>
          <w:bCs/>
          <w:noProof/>
          <w:sz w:val="20"/>
          <w:szCs w:val="20"/>
        </w:rPr>
        <w:drawing>
          <wp:inline distT="0" distB="0" distL="0" distR="0" wp14:anchorId="5F4D1FFE" wp14:editId="746C45A6">
            <wp:extent cx="2343150" cy="828675"/>
            <wp:effectExtent l="0" t="0" r="0" b="9525"/>
            <wp:docPr id="19423232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23252" name="Immagine 1942323252"/>
                    <pic:cNvPicPr/>
                  </pic:nvPicPr>
                  <pic:blipFill>
                    <a:blip r:embed="rId4">
                      <a:extLst>
                        <a:ext uri="{28A0092B-C50C-407E-A947-70E740481C1C}">
                          <a14:useLocalDpi xmlns:a14="http://schemas.microsoft.com/office/drawing/2010/main" val="0"/>
                        </a:ext>
                      </a:extLst>
                    </a:blip>
                    <a:stretch>
                      <a:fillRect/>
                    </a:stretch>
                  </pic:blipFill>
                  <pic:spPr>
                    <a:xfrm>
                      <a:off x="0" y="0"/>
                      <a:ext cx="2343150" cy="828675"/>
                    </a:xfrm>
                    <a:prstGeom prst="rect">
                      <a:avLst/>
                    </a:prstGeom>
                  </pic:spPr>
                </pic:pic>
              </a:graphicData>
            </a:graphic>
          </wp:inline>
        </w:drawing>
      </w:r>
    </w:p>
    <w:p w14:paraId="1FB8DD47" w14:textId="77777777" w:rsidR="007D1673" w:rsidRDefault="007D1673" w:rsidP="0043197D">
      <w:pPr>
        <w:pStyle w:val="Default"/>
        <w:rPr>
          <w:b/>
          <w:bCs/>
          <w:sz w:val="20"/>
          <w:szCs w:val="20"/>
        </w:rPr>
      </w:pPr>
    </w:p>
    <w:p w14:paraId="2C6BE3D1" w14:textId="77777777" w:rsidR="007D1673" w:rsidRDefault="007D1673" w:rsidP="0043197D">
      <w:pPr>
        <w:pStyle w:val="Default"/>
        <w:rPr>
          <w:b/>
          <w:bCs/>
          <w:sz w:val="20"/>
          <w:szCs w:val="20"/>
        </w:rPr>
      </w:pPr>
    </w:p>
    <w:p w14:paraId="5CA21DDF" w14:textId="77777777" w:rsidR="007D1673" w:rsidRDefault="007D1673" w:rsidP="007D1673">
      <w:pPr>
        <w:autoSpaceDE w:val="0"/>
        <w:autoSpaceDN w:val="0"/>
        <w:adjustRightInd w:val="0"/>
        <w:spacing w:after="0" w:line="240" w:lineRule="auto"/>
        <w:jc w:val="center"/>
        <w:rPr>
          <w:rFonts w:ascii="BookmanOldStyle" w:hAnsi="BookmanOldStyle" w:cs="BookmanOldStyle"/>
          <w:color w:val="0D0699"/>
          <w:kern w:val="0"/>
          <w:sz w:val="20"/>
          <w:szCs w:val="20"/>
        </w:rPr>
      </w:pPr>
      <w:r>
        <w:rPr>
          <w:rFonts w:ascii="BookmanOldStyle" w:hAnsi="BookmanOldStyle" w:cs="BookmanOldStyle"/>
          <w:color w:val="0D0699"/>
          <w:kern w:val="0"/>
          <w:sz w:val="20"/>
          <w:szCs w:val="20"/>
        </w:rPr>
        <w:t>Via Crispi, 69 - 19124 LA SPEZIA Tel. 0187/511230</w:t>
      </w:r>
    </w:p>
    <w:p w14:paraId="6AF2C13F" w14:textId="3F8DF0BF" w:rsidR="007D1673" w:rsidRDefault="007D1673" w:rsidP="007D1673">
      <w:pPr>
        <w:pStyle w:val="Default"/>
        <w:jc w:val="center"/>
        <w:rPr>
          <w:b/>
          <w:bCs/>
          <w:sz w:val="20"/>
          <w:szCs w:val="20"/>
        </w:rPr>
      </w:pPr>
      <w:r>
        <w:rPr>
          <w:rFonts w:ascii="BookmanOldStyle" w:hAnsi="BookmanOldStyle" w:cs="BookmanOldStyle"/>
          <w:color w:val="0D0699"/>
          <w:sz w:val="20"/>
          <w:szCs w:val="20"/>
        </w:rPr>
        <w:t xml:space="preserve">e-mail: </w:t>
      </w:r>
      <w:hyperlink r:id="rId5" w:history="1">
        <w:r w:rsidRPr="005E662B">
          <w:rPr>
            <w:rStyle w:val="Collegamentoipertestuale"/>
            <w:rFonts w:ascii="BookmanOldStyle" w:hAnsi="BookmanOldStyle" w:cs="BookmanOldStyle"/>
            <w:sz w:val="20"/>
            <w:szCs w:val="20"/>
          </w:rPr>
          <w:t>consigliolaspezia@notariato.it</w:t>
        </w:r>
      </w:hyperlink>
      <w:r>
        <w:rPr>
          <w:rFonts w:ascii="BookmanOldStyle" w:hAnsi="BookmanOldStyle" w:cs="BookmanOldStyle"/>
          <w:color w:val="0563C2"/>
          <w:sz w:val="20"/>
          <w:szCs w:val="20"/>
        </w:rPr>
        <w:t xml:space="preserve"> </w:t>
      </w:r>
      <w:r>
        <w:rPr>
          <w:rFonts w:ascii="BookmanOldStyle" w:hAnsi="BookmanOldStyle" w:cs="BookmanOldStyle"/>
          <w:color w:val="0563C2"/>
          <w:sz w:val="20"/>
          <w:szCs w:val="20"/>
        </w:rPr>
        <w:t xml:space="preserve"> </w:t>
      </w:r>
      <w:r>
        <w:rPr>
          <w:rFonts w:ascii="BookmanOldStyle" w:hAnsi="BookmanOldStyle" w:cs="BookmanOldStyle"/>
          <w:color w:val="0D0699"/>
          <w:sz w:val="20"/>
          <w:szCs w:val="20"/>
        </w:rPr>
        <w:t xml:space="preserve">PEC: </w:t>
      </w:r>
      <w:hyperlink r:id="rId6" w:history="1">
        <w:r w:rsidRPr="005E662B">
          <w:rPr>
            <w:rStyle w:val="Collegamentoipertestuale"/>
            <w:rFonts w:ascii="BookmanOldStyle" w:hAnsi="BookmanOldStyle" w:cs="BookmanOldStyle"/>
            <w:sz w:val="20"/>
            <w:szCs w:val="20"/>
          </w:rPr>
          <w:t>cnd.laspezia@postacertificata.notariato.it</w:t>
        </w:r>
      </w:hyperlink>
    </w:p>
    <w:p w14:paraId="749E5659" w14:textId="77777777" w:rsidR="007D1673" w:rsidRDefault="007D1673" w:rsidP="007D1673">
      <w:pPr>
        <w:pStyle w:val="Default"/>
        <w:jc w:val="center"/>
        <w:rPr>
          <w:sz w:val="20"/>
          <w:szCs w:val="20"/>
        </w:rPr>
      </w:pPr>
    </w:p>
    <w:p w14:paraId="16BFD316" w14:textId="77777777" w:rsidR="0043197D" w:rsidRPr="007D1673" w:rsidRDefault="0043197D" w:rsidP="007D1673">
      <w:pPr>
        <w:pStyle w:val="Default"/>
        <w:spacing w:line="360" w:lineRule="auto"/>
        <w:rPr>
          <w:rFonts w:asciiTheme="minorHAnsi" w:hAnsiTheme="minorHAnsi" w:cstheme="minorHAnsi"/>
          <w:color w:val="auto"/>
        </w:rPr>
      </w:pPr>
    </w:p>
    <w:p w14:paraId="5811A56B" w14:textId="77777777" w:rsidR="0043197D" w:rsidRPr="007D1673" w:rsidRDefault="0043197D" w:rsidP="007D1673">
      <w:pPr>
        <w:pStyle w:val="Default"/>
        <w:spacing w:line="360" w:lineRule="auto"/>
        <w:rPr>
          <w:rFonts w:asciiTheme="minorHAnsi" w:hAnsiTheme="minorHAnsi" w:cstheme="minorHAnsi"/>
          <w:color w:val="auto"/>
        </w:rPr>
      </w:pPr>
      <w:r w:rsidRPr="007D1673">
        <w:rPr>
          <w:rFonts w:asciiTheme="minorHAnsi" w:hAnsiTheme="minorHAnsi" w:cstheme="minorHAnsi"/>
          <w:color w:val="auto"/>
        </w:rPr>
        <w:t xml:space="preserve"> </w:t>
      </w:r>
      <w:r w:rsidRPr="007D1673">
        <w:rPr>
          <w:rFonts w:asciiTheme="minorHAnsi" w:hAnsiTheme="minorHAnsi" w:cstheme="minorHAnsi"/>
          <w:b/>
          <w:bCs/>
          <w:i/>
          <w:iCs/>
          <w:color w:val="auto"/>
        </w:rPr>
        <w:t xml:space="preserve">Scheda di sintesi sulla rilevazione degli OIV o organismi con funzioni analoghe </w:t>
      </w:r>
    </w:p>
    <w:p w14:paraId="3803DD14" w14:textId="77777777" w:rsidR="0043197D" w:rsidRPr="007D1673" w:rsidRDefault="0043197D" w:rsidP="007D1673">
      <w:pPr>
        <w:pStyle w:val="Default"/>
        <w:spacing w:line="360" w:lineRule="auto"/>
        <w:rPr>
          <w:rFonts w:asciiTheme="minorHAnsi" w:hAnsiTheme="minorHAnsi" w:cstheme="minorHAnsi"/>
          <w:color w:val="auto"/>
        </w:rPr>
      </w:pPr>
      <w:r w:rsidRPr="007D1673">
        <w:rPr>
          <w:rFonts w:asciiTheme="minorHAnsi" w:hAnsiTheme="minorHAnsi" w:cstheme="minorHAnsi"/>
          <w:b/>
          <w:bCs/>
          <w:i/>
          <w:iCs/>
          <w:color w:val="auto"/>
        </w:rPr>
        <w:t xml:space="preserve">Data di svolgimento della rilevazione </w:t>
      </w:r>
    </w:p>
    <w:p w14:paraId="07450EA1" w14:textId="77777777" w:rsidR="0043197D" w:rsidRPr="007D1673" w:rsidRDefault="0043197D" w:rsidP="007D1673">
      <w:pPr>
        <w:pStyle w:val="Default"/>
        <w:spacing w:line="360" w:lineRule="auto"/>
        <w:rPr>
          <w:rFonts w:asciiTheme="minorHAnsi" w:hAnsiTheme="minorHAnsi" w:cstheme="minorHAnsi"/>
          <w:color w:val="auto"/>
        </w:rPr>
      </w:pPr>
      <w:r w:rsidRPr="007D1673">
        <w:rPr>
          <w:rFonts w:asciiTheme="minorHAnsi" w:hAnsiTheme="minorHAnsi" w:cstheme="minorHAnsi"/>
          <w:color w:val="auto"/>
        </w:rPr>
        <w:t xml:space="preserve">Indicare la data di svolgimento della rilevazione nel formato 29/06/2021. </w:t>
      </w:r>
    </w:p>
    <w:p w14:paraId="7F4ED91A" w14:textId="77777777" w:rsidR="0043197D" w:rsidRPr="007D1673" w:rsidRDefault="0043197D" w:rsidP="007D1673">
      <w:pPr>
        <w:pStyle w:val="Default"/>
        <w:spacing w:line="360" w:lineRule="auto"/>
        <w:rPr>
          <w:rFonts w:asciiTheme="minorHAnsi" w:hAnsiTheme="minorHAnsi" w:cstheme="minorHAnsi"/>
          <w:color w:val="auto"/>
        </w:rPr>
      </w:pPr>
      <w:r w:rsidRPr="007D1673">
        <w:rPr>
          <w:rFonts w:asciiTheme="minorHAnsi" w:hAnsiTheme="minorHAnsi" w:cstheme="minorHAnsi"/>
          <w:color w:val="auto"/>
        </w:rPr>
        <w:t xml:space="preserve">Indicare la data di inizio 29/06/2021 e di fine della rilevazione 29/06/2021. </w:t>
      </w:r>
    </w:p>
    <w:p w14:paraId="0EEBB781" w14:textId="77777777" w:rsidR="0043197D" w:rsidRPr="007D1673" w:rsidRDefault="0043197D" w:rsidP="007D1673">
      <w:pPr>
        <w:pStyle w:val="Default"/>
        <w:spacing w:line="360" w:lineRule="auto"/>
        <w:rPr>
          <w:rFonts w:asciiTheme="minorHAnsi" w:hAnsiTheme="minorHAnsi" w:cstheme="minorHAnsi"/>
          <w:color w:val="auto"/>
        </w:rPr>
      </w:pPr>
      <w:r w:rsidRPr="007D1673">
        <w:rPr>
          <w:rFonts w:asciiTheme="minorHAnsi" w:hAnsiTheme="minorHAnsi" w:cstheme="minorHAnsi"/>
          <w:b/>
          <w:bCs/>
          <w:i/>
          <w:iCs/>
          <w:color w:val="auto"/>
        </w:rPr>
        <w:t xml:space="preserve">Estensione della rilevazione (nel solo caso di amministrazioni/enti con uffici periferici) </w:t>
      </w:r>
    </w:p>
    <w:p w14:paraId="03EB897D" w14:textId="77777777" w:rsidR="0043197D" w:rsidRPr="007D1673" w:rsidRDefault="0043197D" w:rsidP="007D1673">
      <w:pPr>
        <w:pStyle w:val="Default"/>
        <w:spacing w:line="360" w:lineRule="auto"/>
        <w:rPr>
          <w:rFonts w:asciiTheme="minorHAnsi" w:hAnsiTheme="minorHAnsi" w:cstheme="minorHAnsi"/>
          <w:color w:val="auto"/>
        </w:rPr>
      </w:pPr>
      <w:r w:rsidRPr="007D1673">
        <w:rPr>
          <w:rFonts w:asciiTheme="minorHAnsi" w:hAnsiTheme="minorHAnsi" w:cstheme="minorHAnsi"/>
          <w:color w:val="auto"/>
        </w:rPr>
        <w:t xml:space="preserve">Indicare il numero complessivo degli uffici periferici esistenti e, se diverse, le tipologie di uffici periferici (Nessuno) </w:t>
      </w:r>
    </w:p>
    <w:p w14:paraId="7E0627AB" w14:textId="77777777" w:rsidR="0043197D" w:rsidRPr="007D1673" w:rsidRDefault="0043197D" w:rsidP="007D1673">
      <w:pPr>
        <w:pStyle w:val="Default"/>
        <w:spacing w:line="360" w:lineRule="auto"/>
        <w:rPr>
          <w:rFonts w:asciiTheme="minorHAnsi" w:hAnsiTheme="minorHAnsi" w:cstheme="minorHAnsi"/>
          <w:color w:val="auto"/>
        </w:rPr>
      </w:pPr>
      <w:r w:rsidRPr="007D1673">
        <w:rPr>
          <w:rFonts w:asciiTheme="minorHAnsi" w:hAnsiTheme="minorHAnsi" w:cstheme="minorHAnsi"/>
          <w:color w:val="auto"/>
        </w:rPr>
        <w:t xml:space="preserve">Per la formazione del campione di uffici periferici su cui effettuare la rilevazione, indicare il criterio di selezione del campione. </w:t>
      </w:r>
    </w:p>
    <w:p w14:paraId="4D2CD237" w14:textId="77777777" w:rsidR="0043197D" w:rsidRPr="007D1673" w:rsidRDefault="0043197D" w:rsidP="007D1673">
      <w:pPr>
        <w:pStyle w:val="Default"/>
        <w:spacing w:line="360" w:lineRule="auto"/>
        <w:rPr>
          <w:rFonts w:asciiTheme="minorHAnsi" w:hAnsiTheme="minorHAnsi" w:cstheme="minorHAnsi"/>
          <w:color w:val="auto"/>
        </w:rPr>
      </w:pPr>
      <w:r w:rsidRPr="007D1673">
        <w:rPr>
          <w:rFonts w:asciiTheme="minorHAnsi" w:hAnsiTheme="minorHAnsi" w:cstheme="minorHAnsi"/>
          <w:color w:val="auto"/>
        </w:rPr>
        <w:t xml:space="preserve">Riportare l’elenco degli uffici periferici selezionati: non vi sono uffici periferici. </w:t>
      </w:r>
    </w:p>
    <w:p w14:paraId="4B897500" w14:textId="77777777" w:rsidR="0043197D" w:rsidRPr="007D1673" w:rsidRDefault="0043197D" w:rsidP="007D1673">
      <w:pPr>
        <w:pStyle w:val="Default"/>
        <w:spacing w:line="360" w:lineRule="auto"/>
        <w:rPr>
          <w:rFonts w:asciiTheme="minorHAnsi" w:hAnsiTheme="minorHAnsi" w:cstheme="minorHAnsi"/>
          <w:color w:val="auto"/>
        </w:rPr>
      </w:pPr>
      <w:r w:rsidRPr="007D1673">
        <w:rPr>
          <w:rFonts w:asciiTheme="minorHAnsi" w:hAnsiTheme="minorHAnsi" w:cstheme="minorHAnsi"/>
          <w:b/>
          <w:bCs/>
          <w:i/>
          <w:iCs/>
          <w:color w:val="auto"/>
        </w:rPr>
        <w:t xml:space="preserve">Procedure e modalità seguite per la rilevazione </w:t>
      </w:r>
    </w:p>
    <w:p w14:paraId="735A65DA" w14:textId="77777777" w:rsidR="0043197D" w:rsidRPr="007D1673" w:rsidRDefault="0043197D" w:rsidP="007D1673">
      <w:pPr>
        <w:pStyle w:val="Default"/>
        <w:spacing w:line="360" w:lineRule="auto"/>
        <w:rPr>
          <w:rFonts w:asciiTheme="minorHAnsi" w:hAnsiTheme="minorHAnsi" w:cstheme="minorHAnsi"/>
          <w:color w:val="auto"/>
        </w:rPr>
      </w:pPr>
      <w:r w:rsidRPr="007D1673">
        <w:rPr>
          <w:rFonts w:asciiTheme="minorHAnsi" w:hAnsiTheme="minorHAnsi" w:cstheme="minorHAnsi"/>
          <w:color w:val="auto"/>
        </w:rPr>
        <w:t xml:space="preserve">Indicare il procedimento e le modalità seguite per condurre la rilevazione. </w:t>
      </w:r>
    </w:p>
    <w:p w14:paraId="6E0248C4" w14:textId="77777777" w:rsidR="0043197D" w:rsidRPr="007D1673" w:rsidRDefault="0043197D" w:rsidP="007D1673">
      <w:pPr>
        <w:pStyle w:val="Default"/>
        <w:spacing w:line="360" w:lineRule="auto"/>
        <w:rPr>
          <w:rFonts w:asciiTheme="minorHAnsi" w:hAnsiTheme="minorHAnsi" w:cstheme="minorHAnsi"/>
          <w:color w:val="auto"/>
        </w:rPr>
      </w:pPr>
      <w:r w:rsidRPr="007D1673">
        <w:rPr>
          <w:rFonts w:asciiTheme="minorHAnsi" w:hAnsiTheme="minorHAnsi" w:cstheme="minorHAnsi"/>
          <w:color w:val="auto"/>
        </w:rPr>
        <w:t xml:space="preserve">A titolo esemplificativo e non esaustivo, si indicano alcune modalità, non alternative fra loro, che potrebbero essere seguite: </w:t>
      </w:r>
    </w:p>
    <w:p w14:paraId="68AE68AF" w14:textId="77777777" w:rsidR="0043197D" w:rsidRPr="007D1673" w:rsidRDefault="0043197D" w:rsidP="007D1673">
      <w:pPr>
        <w:pStyle w:val="Default"/>
        <w:spacing w:after="156" w:line="360" w:lineRule="auto"/>
        <w:rPr>
          <w:rFonts w:asciiTheme="minorHAnsi" w:hAnsiTheme="minorHAnsi" w:cstheme="minorHAnsi"/>
          <w:color w:val="auto"/>
        </w:rPr>
      </w:pPr>
      <w:r w:rsidRPr="007D1673">
        <w:rPr>
          <w:rFonts w:asciiTheme="minorHAnsi" w:hAnsiTheme="minorHAnsi" w:cstheme="minorHAnsi"/>
          <w:color w:val="auto"/>
        </w:rPr>
        <w:t xml:space="preserve">- verifica dell’attività svolta dal Responsabile della prevenzione della corruzione e della trasparenza per riscontrare l’adempimento degli obblighi di pubblicazione; </w:t>
      </w:r>
    </w:p>
    <w:p w14:paraId="05F2E78E" w14:textId="77777777" w:rsidR="0043197D" w:rsidRPr="007D1673" w:rsidRDefault="0043197D" w:rsidP="007D1673">
      <w:pPr>
        <w:pStyle w:val="Default"/>
        <w:spacing w:after="156" w:line="360" w:lineRule="auto"/>
        <w:rPr>
          <w:rFonts w:asciiTheme="minorHAnsi" w:hAnsiTheme="minorHAnsi" w:cstheme="minorHAnsi"/>
          <w:color w:val="auto"/>
        </w:rPr>
      </w:pPr>
      <w:r w:rsidRPr="007D1673">
        <w:rPr>
          <w:rFonts w:asciiTheme="minorHAnsi" w:hAnsiTheme="minorHAnsi" w:cstheme="minorHAnsi"/>
          <w:color w:val="auto"/>
        </w:rPr>
        <w:t xml:space="preserve">- esame della documentazione e delle banche dati relative ai dati oggetto di attestazione; </w:t>
      </w:r>
    </w:p>
    <w:p w14:paraId="52A9EE3A" w14:textId="77777777" w:rsidR="0043197D" w:rsidRPr="007D1673" w:rsidRDefault="0043197D" w:rsidP="007D1673">
      <w:pPr>
        <w:pStyle w:val="Default"/>
        <w:spacing w:after="156" w:line="360" w:lineRule="auto"/>
        <w:rPr>
          <w:rFonts w:asciiTheme="minorHAnsi" w:hAnsiTheme="minorHAnsi" w:cstheme="minorHAnsi"/>
          <w:color w:val="auto"/>
        </w:rPr>
      </w:pPr>
      <w:r w:rsidRPr="007D1673">
        <w:rPr>
          <w:rFonts w:asciiTheme="minorHAnsi" w:hAnsiTheme="minorHAnsi" w:cstheme="minorHAnsi"/>
          <w:color w:val="auto"/>
        </w:rPr>
        <w:t xml:space="preserve">- colloqui con i responsabili della trasmissione dei dati; </w:t>
      </w:r>
    </w:p>
    <w:p w14:paraId="5C251763" w14:textId="77777777" w:rsidR="0043197D" w:rsidRPr="007D1673" w:rsidRDefault="0043197D" w:rsidP="007D1673">
      <w:pPr>
        <w:pStyle w:val="Default"/>
        <w:spacing w:after="156" w:line="360" w:lineRule="auto"/>
        <w:rPr>
          <w:rFonts w:asciiTheme="minorHAnsi" w:hAnsiTheme="minorHAnsi" w:cstheme="minorHAnsi"/>
          <w:color w:val="auto"/>
        </w:rPr>
      </w:pPr>
      <w:r w:rsidRPr="007D1673">
        <w:rPr>
          <w:rFonts w:asciiTheme="minorHAnsi" w:hAnsiTheme="minorHAnsi" w:cstheme="minorHAnsi"/>
          <w:color w:val="auto"/>
        </w:rPr>
        <w:t xml:space="preserve">- colloqui con i responsabili della pubblicazione dei dati; </w:t>
      </w:r>
    </w:p>
    <w:p w14:paraId="15FF1586" w14:textId="77777777" w:rsidR="0043197D" w:rsidRPr="007D1673" w:rsidRDefault="0043197D" w:rsidP="007D1673">
      <w:pPr>
        <w:pStyle w:val="Default"/>
        <w:spacing w:line="360" w:lineRule="auto"/>
        <w:rPr>
          <w:rFonts w:asciiTheme="minorHAnsi" w:hAnsiTheme="minorHAnsi" w:cstheme="minorHAnsi"/>
          <w:color w:val="auto"/>
        </w:rPr>
      </w:pPr>
      <w:r w:rsidRPr="007D1673">
        <w:rPr>
          <w:rFonts w:asciiTheme="minorHAnsi" w:hAnsiTheme="minorHAnsi" w:cstheme="minorHAnsi"/>
          <w:color w:val="auto"/>
        </w:rPr>
        <w:t xml:space="preserve">- verifica diretta sul sito istituzionale, anche attraverso l’utilizzo di supporti informatici. </w:t>
      </w:r>
    </w:p>
    <w:p w14:paraId="0388C9EB" w14:textId="77777777" w:rsidR="00721660" w:rsidRDefault="00721660" w:rsidP="007D1673">
      <w:pPr>
        <w:spacing w:line="360" w:lineRule="auto"/>
        <w:rPr>
          <w:rFonts w:cstheme="minorHAnsi"/>
          <w:sz w:val="24"/>
          <w:szCs w:val="24"/>
        </w:rPr>
      </w:pPr>
    </w:p>
    <w:p w14:paraId="128E2E49" w14:textId="77777777" w:rsidR="007D1673" w:rsidRDefault="007D1673" w:rsidP="007D1673">
      <w:pPr>
        <w:spacing w:line="360" w:lineRule="auto"/>
        <w:rPr>
          <w:rFonts w:cstheme="minorHAnsi"/>
          <w:sz w:val="24"/>
          <w:szCs w:val="24"/>
        </w:rPr>
      </w:pPr>
    </w:p>
    <w:p w14:paraId="535F1D1B" w14:textId="77777777" w:rsidR="007D1673" w:rsidRDefault="007D1673" w:rsidP="007D1673">
      <w:pPr>
        <w:spacing w:line="360" w:lineRule="auto"/>
        <w:rPr>
          <w:rFonts w:cstheme="minorHAnsi"/>
          <w:sz w:val="24"/>
          <w:szCs w:val="24"/>
        </w:rPr>
      </w:pPr>
    </w:p>
    <w:p w14:paraId="44C217F1" w14:textId="77777777" w:rsidR="007D1673" w:rsidRPr="007D1673" w:rsidRDefault="007D1673" w:rsidP="007D1673">
      <w:pPr>
        <w:spacing w:line="360" w:lineRule="auto"/>
        <w:rPr>
          <w:rFonts w:cstheme="minorHAnsi"/>
          <w:sz w:val="24"/>
          <w:szCs w:val="24"/>
        </w:rPr>
      </w:pPr>
    </w:p>
    <w:p w14:paraId="4BB60477" w14:textId="77777777" w:rsidR="0043197D" w:rsidRPr="0043197D" w:rsidRDefault="0043197D" w:rsidP="007D1673">
      <w:pPr>
        <w:spacing w:line="360" w:lineRule="auto"/>
        <w:rPr>
          <w:rFonts w:cstheme="minorHAnsi"/>
          <w:sz w:val="24"/>
          <w:szCs w:val="24"/>
        </w:rPr>
      </w:pPr>
      <w:r w:rsidRPr="0043197D">
        <w:rPr>
          <w:rFonts w:cstheme="minorHAnsi"/>
          <w:b/>
          <w:bCs/>
          <w:sz w:val="24"/>
          <w:szCs w:val="24"/>
        </w:rPr>
        <w:lastRenderedPageBreak/>
        <w:t xml:space="preserve">Allegato 3 alla delibera ANAC n. 294/2021 </w:t>
      </w:r>
    </w:p>
    <w:p w14:paraId="20D637AD" w14:textId="77777777" w:rsidR="0043197D" w:rsidRPr="0043197D" w:rsidRDefault="0043197D" w:rsidP="007D1673">
      <w:pPr>
        <w:spacing w:line="360" w:lineRule="auto"/>
        <w:rPr>
          <w:rFonts w:cstheme="minorHAnsi"/>
          <w:sz w:val="24"/>
          <w:szCs w:val="24"/>
        </w:rPr>
      </w:pPr>
      <w:r w:rsidRPr="0043197D">
        <w:rPr>
          <w:rFonts w:cstheme="minorHAnsi"/>
          <w:sz w:val="24"/>
          <w:szCs w:val="24"/>
        </w:rPr>
        <w:t xml:space="preserve">Non essendoci uffici periferici non sono state condotte le rilevazioni con le modalità di cui sopra. </w:t>
      </w:r>
    </w:p>
    <w:p w14:paraId="5522B7A5" w14:textId="77777777" w:rsidR="0043197D" w:rsidRPr="0043197D" w:rsidRDefault="0043197D" w:rsidP="007D1673">
      <w:pPr>
        <w:spacing w:line="360" w:lineRule="auto"/>
        <w:rPr>
          <w:rFonts w:cstheme="minorHAnsi"/>
          <w:sz w:val="24"/>
          <w:szCs w:val="24"/>
        </w:rPr>
      </w:pPr>
      <w:r w:rsidRPr="0043197D">
        <w:rPr>
          <w:rFonts w:cstheme="minorHAnsi"/>
          <w:b/>
          <w:bCs/>
          <w:i/>
          <w:iCs/>
          <w:sz w:val="24"/>
          <w:szCs w:val="24"/>
        </w:rPr>
        <w:t xml:space="preserve">Aspetti critici riscontrati nel corso della rilevazione </w:t>
      </w:r>
    </w:p>
    <w:p w14:paraId="10258C45" w14:textId="2FEC1FF1" w:rsidR="0043197D" w:rsidRPr="007D1673" w:rsidRDefault="0043197D" w:rsidP="007D1673">
      <w:pPr>
        <w:spacing w:line="360" w:lineRule="auto"/>
        <w:rPr>
          <w:rFonts w:cstheme="minorHAnsi"/>
          <w:sz w:val="24"/>
          <w:szCs w:val="24"/>
        </w:rPr>
      </w:pPr>
      <w:r w:rsidRPr="007D1673">
        <w:rPr>
          <w:rFonts w:cstheme="minorHAnsi"/>
          <w:b/>
          <w:bCs/>
          <w:sz w:val="24"/>
          <w:szCs w:val="24"/>
        </w:rPr>
        <w:t xml:space="preserve">La normativa di cui al Dlgs. 150/2009 e </w:t>
      </w:r>
      <w:proofErr w:type="gramStart"/>
      <w:r w:rsidRPr="007D1673">
        <w:rPr>
          <w:rFonts w:cstheme="minorHAnsi"/>
          <w:b/>
          <w:bCs/>
          <w:sz w:val="24"/>
          <w:szCs w:val="24"/>
        </w:rPr>
        <w:t>successivi modifiche</w:t>
      </w:r>
      <w:proofErr w:type="gramEnd"/>
      <w:r w:rsidRPr="007D1673">
        <w:rPr>
          <w:rFonts w:cstheme="minorHAnsi"/>
          <w:b/>
          <w:bCs/>
          <w:sz w:val="24"/>
          <w:szCs w:val="24"/>
        </w:rPr>
        <w:t xml:space="preserve"> ed integrazioni quali Dlgs. 33/2013 evidenzia diverse difficoltà nell’applicazione agli Ordini Professionali che non beneficiano in alcun modo di contributi pubblici, non hanno membri eletti dagli Enti Pubblici ma trovano la fonte di finanziamento nell’unico contributo erogato dagli iscritti e svolgono un’attività di vigilanza sui propri iscritti ma non effettuano prestazioni e servizi al pubblico con necessità di adottare soluzioni compatibili con la predetta disciplina non interamente applicabile come anche previsto dall’art. 2 comma 2 bis D.L. 101/2013 convertito in Legge 125/2013</w:t>
      </w:r>
    </w:p>
    <w:sectPr w:rsidR="0043197D" w:rsidRPr="007D1673" w:rsidSect="0043197D">
      <w:pgSz w:w="11906" w:h="17338"/>
      <w:pgMar w:top="1158" w:right="805" w:bottom="903" w:left="10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BookmanOldStyle">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7D"/>
    <w:rsid w:val="000B7B66"/>
    <w:rsid w:val="0043197D"/>
    <w:rsid w:val="00592C1F"/>
    <w:rsid w:val="00721660"/>
    <w:rsid w:val="00756767"/>
    <w:rsid w:val="007D1673"/>
    <w:rsid w:val="00D040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4CBD"/>
  <w15:chartTrackingRefBased/>
  <w15:docId w15:val="{73CC147C-7524-46E9-9380-38462531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31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31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3197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3197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3197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3197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3197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3197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3197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3197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3197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3197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3197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3197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3197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3197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3197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3197D"/>
    <w:rPr>
      <w:rFonts w:eastAsiaTheme="majorEastAsia" w:cstheme="majorBidi"/>
      <w:color w:val="272727" w:themeColor="text1" w:themeTint="D8"/>
    </w:rPr>
  </w:style>
  <w:style w:type="paragraph" w:styleId="Titolo">
    <w:name w:val="Title"/>
    <w:basedOn w:val="Normale"/>
    <w:next w:val="Normale"/>
    <w:link w:val="TitoloCarattere"/>
    <w:uiPriority w:val="10"/>
    <w:qFormat/>
    <w:rsid w:val="00431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3197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3197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3197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3197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3197D"/>
    <w:rPr>
      <w:i/>
      <w:iCs/>
      <w:color w:val="404040" w:themeColor="text1" w:themeTint="BF"/>
    </w:rPr>
  </w:style>
  <w:style w:type="paragraph" w:styleId="Paragrafoelenco">
    <w:name w:val="List Paragraph"/>
    <w:basedOn w:val="Normale"/>
    <w:uiPriority w:val="34"/>
    <w:qFormat/>
    <w:rsid w:val="0043197D"/>
    <w:pPr>
      <w:ind w:left="720"/>
      <w:contextualSpacing/>
    </w:pPr>
  </w:style>
  <w:style w:type="character" w:styleId="Enfasiintensa">
    <w:name w:val="Intense Emphasis"/>
    <w:basedOn w:val="Carpredefinitoparagrafo"/>
    <w:uiPriority w:val="21"/>
    <w:qFormat/>
    <w:rsid w:val="0043197D"/>
    <w:rPr>
      <w:i/>
      <w:iCs/>
      <w:color w:val="2F5496" w:themeColor="accent1" w:themeShade="BF"/>
    </w:rPr>
  </w:style>
  <w:style w:type="paragraph" w:styleId="Citazioneintensa">
    <w:name w:val="Intense Quote"/>
    <w:basedOn w:val="Normale"/>
    <w:next w:val="Normale"/>
    <w:link w:val="CitazioneintensaCarattere"/>
    <w:uiPriority w:val="30"/>
    <w:qFormat/>
    <w:rsid w:val="00431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3197D"/>
    <w:rPr>
      <w:i/>
      <w:iCs/>
      <w:color w:val="2F5496" w:themeColor="accent1" w:themeShade="BF"/>
    </w:rPr>
  </w:style>
  <w:style w:type="character" w:styleId="Riferimentointenso">
    <w:name w:val="Intense Reference"/>
    <w:basedOn w:val="Carpredefinitoparagrafo"/>
    <w:uiPriority w:val="32"/>
    <w:qFormat/>
    <w:rsid w:val="0043197D"/>
    <w:rPr>
      <w:b/>
      <w:bCs/>
      <w:smallCaps/>
      <w:color w:val="2F5496" w:themeColor="accent1" w:themeShade="BF"/>
      <w:spacing w:val="5"/>
    </w:rPr>
  </w:style>
  <w:style w:type="paragraph" w:customStyle="1" w:styleId="Default">
    <w:name w:val="Default"/>
    <w:rsid w:val="0043197D"/>
    <w:pPr>
      <w:autoSpaceDE w:val="0"/>
      <w:autoSpaceDN w:val="0"/>
      <w:adjustRightInd w:val="0"/>
      <w:spacing w:after="0" w:line="240" w:lineRule="auto"/>
    </w:pPr>
    <w:rPr>
      <w:rFonts w:ascii="Courier New" w:hAnsi="Courier New" w:cs="Courier New"/>
      <w:color w:val="000000"/>
      <w:kern w:val="0"/>
      <w:sz w:val="24"/>
      <w:szCs w:val="24"/>
    </w:rPr>
  </w:style>
  <w:style w:type="character" w:styleId="Collegamentoipertestuale">
    <w:name w:val="Hyperlink"/>
    <w:basedOn w:val="Carpredefinitoparagrafo"/>
    <w:uiPriority w:val="99"/>
    <w:unhideWhenUsed/>
    <w:rsid w:val="007D1673"/>
    <w:rPr>
      <w:color w:val="0563C1" w:themeColor="hyperlink"/>
      <w:u w:val="single"/>
    </w:rPr>
  </w:style>
  <w:style w:type="character" w:styleId="Menzionenonrisolta">
    <w:name w:val="Unresolved Mention"/>
    <w:basedOn w:val="Carpredefinitoparagrafo"/>
    <w:uiPriority w:val="99"/>
    <w:semiHidden/>
    <w:unhideWhenUsed/>
    <w:rsid w:val="007D1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nd.laspezia@postacertificata.notariato.it" TargetMode="External"/><Relationship Id="rId5" Type="http://schemas.openxmlformats.org/officeDocument/2006/relationships/hyperlink" Target="mailto:consigliolaspezia@notariato.it" TargetMode="External"/><Relationship Id="rId4"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Cozzani</dc:creator>
  <cp:keywords/>
  <dc:description/>
  <cp:lastModifiedBy>Monica Cozzani</cp:lastModifiedBy>
  <cp:revision>3</cp:revision>
  <dcterms:created xsi:type="dcterms:W3CDTF">2026-05-14T11:54:00Z</dcterms:created>
  <dcterms:modified xsi:type="dcterms:W3CDTF">2026-05-14T11:59:00Z</dcterms:modified>
</cp:coreProperties>
</file>